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rsidP="00223C2E">
            <w:pPr>
              <w:rPr>
                <w:rFonts w:ascii="Arial" w:hAnsi="Arial"/>
              </w:rPr>
            </w:pPr>
            <w:r>
              <w:rPr>
                <w:rFonts w:ascii="Arial" w:hAnsi="Arial"/>
              </w:rPr>
              <w:t>1</w:t>
            </w:r>
            <w:r w:rsidR="00223C2E">
              <w:rPr>
                <w:rFonts w:ascii="Arial" w:hAnsi="Arial"/>
              </w:rPr>
              <w:t>6</w:t>
            </w:r>
            <w:r w:rsidR="0040444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r w:rsidR="0004647E">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J. Cavaliere</w:t>
            </w:r>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rsidP="00223C2E">
            <w:pPr>
              <w:rPr>
                <w:rFonts w:ascii="Arial" w:hAnsi="Arial"/>
              </w:rPr>
            </w:pPr>
            <w:r>
              <w:rPr>
                <w:rFonts w:ascii="Arial" w:hAnsi="Arial"/>
              </w:rPr>
              <w:t>01-Jan-1</w:t>
            </w:r>
            <w:r w:rsidR="00223C2E">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rsidP="00223C2E">
            <w:pPr>
              <w:rPr>
                <w:rFonts w:ascii="Arial" w:hAnsi="Arial"/>
              </w:rPr>
            </w:pPr>
            <w:r>
              <w:rPr>
                <w:rFonts w:ascii="Arial" w:hAnsi="Arial"/>
              </w:rPr>
              <w:t>01Jan1</w:t>
            </w:r>
            <w:r w:rsidR="00223C2E">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24015" w:rsidP="00224015">
            <w:pPr>
              <w:jc w:val="center"/>
              <w:rPr>
                <w:rFonts w:ascii="Arial" w:hAnsi="Arial"/>
              </w:rPr>
            </w:pPr>
            <w:r>
              <w:rPr>
                <w:rFonts w:ascii="Arial" w:hAnsi="Arial"/>
              </w:rPr>
              <w:t>Colin Kirkwood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24015" w:rsidP="0022401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3447D" w:rsidP="0033447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w:t>
            </w:r>
            <w:r w:rsidR="00223C2E">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224015">
            <w:pPr>
              <w:pStyle w:val="Heading2"/>
              <w:tabs>
                <w:tab w:val="center" w:pos="4560"/>
              </w:tabs>
              <w:rPr>
                <w:rFonts w:ascii="Arial" w:hAnsi="Arial"/>
                <w:b w:val="0"/>
              </w:rPr>
            </w:pPr>
            <w:r>
              <w:rPr>
                <w:rFonts w:ascii="Arial" w:hAnsi="Arial"/>
                <w:b w:val="0"/>
                <w:i/>
              </w:rPr>
              <w:t xml:space="preserve">For additional information, please contact </w:t>
            </w:r>
            <w:r w:rsidR="00224015">
              <w:rPr>
                <w:rFonts w:ascii="Arial" w:hAnsi="Arial"/>
                <w:b w:val="0"/>
                <w:i/>
              </w:rPr>
              <w:t>Colin Kirkwood Dean</w:t>
            </w:r>
          </w:p>
        </w:tc>
      </w:tr>
      <w:tr w:rsidR="00D1300B">
        <w:trPr>
          <w:cantSplit/>
        </w:trPr>
        <w:tc>
          <w:tcPr>
            <w:tcW w:w="8856" w:type="dxa"/>
            <w:gridSpan w:val="6"/>
          </w:tcPr>
          <w:p w:rsidR="00D1300B" w:rsidRDefault="00652270" w:rsidP="0004647E">
            <w:pPr>
              <w:tabs>
                <w:tab w:val="center" w:pos="4560"/>
              </w:tabs>
              <w:jc w:val="center"/>
              <w:rPr>
                <w:rFonts w:ascii="Arial" w:hAnsi="Arial"/>
                <w:i/>
                <w:lang w:val="en-GB"/>
              </w:rPr>
            </w:pPr>
            <w:r w:rsidRPr="00652270">
              <w:rPr>
                <w:rFonts w:ascii="Arial" w:hAnsi="Arial"/>
                <w:i/>
                <w:lang w:val="en-GB"/>
              </w:rPr>
              <w:t>School of Natural Environment/Outdoor Studies, Technology &amp; Business</w:t>
            </w:r>
            <w:r w:rsidR="00E76CAC">
              <w:rPr>
                <w:rFonts w:ascii="Arial" w:hAnsi="Arial"/>
                <w:i/>
                <w:lang w:val="en-GB"/>
              </w:rPr>
              <w:t xml:space="preserve"> </w:t>
            </w:r>
          </w:p>
        </w:tc>
      </w:tr>
      <w:tr w:rsidR="00D1300B">
        <w:trPr>
          <w:cantSplit/>
        </w:trPr>
        <w:tc>
          <w:tcPr>
            <w:tcW w:w="8856" w:type="dxa"/>
            <w:gridSpan w:val="6"/>
          </w:tcPr>
          <w:p w:rsidR="00D1300B" w:rsidRDefault="00D1300B" w:rsidP="00652270">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04647E">
              <w:rPr>
                <w:rFonts w:ascii="Arial" w:hAnsi="Arial"/>
                <w:i/>
                <w:lang w:val="en-GB"/>
              </w:rPr>
              <w:t>268</w:t>
            </w:r>
            <w:r w:rsidR="00652270">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w:t>
            </w:r>
          </w:p>
        </w:tc>
        <w:tc>
          <w:tcPr>
            <w:tcW w:w="8181" w:type="dxa"/>
          </w:tcPr>
          <w:p w:rsidR="00E76CAC" w:rsidRDefault="00E76CAC" w:rsidP="00C17D1B">
            <w:pPr>
              <w:pStyle w:val="EnvelopeReturn"/>
              <w:rPr>
                <w:b/>
              </w:rPr>
            </w:pPr>
            <w:r>
              <w:rPr>
                <w:b/>
              </w:rPr>
              <w:t>COURSE DESCRIPTION:</w:t>
            </w:r>
          </w:p>
          <w:p w:rsidR="00E76CAC" w:rsidRDefault="00E76CAC" w:rsidP="00FB4A2D">
            <w:pPr>
              <w:pStyle w:val="EnvelopeReturn"/>
            </w:pPr>
            <w:r>
              <w:t>Managerial Accounting is an activity that provides financial and non-financial information to managers and other internal decision makers of an organization.  Students will learn the concepts relating to the classification of Costs, Master Budgets Flexible Budgets</w:t>
            </w:r>
            <w:r w:rsidR="00FB4A2D">
              <w:t xml:space="preserve"> and </w:t>
            </w:r>
            <w:r>
              <w:t>Capital Budgets</w:t>
            </w:r>
            <w:r w:rsidR="00FB4A2D">
              <w:t>.</w:t>
            </w:r>
          </w:p>
        </w:tc>
      </w:tr>
    </w:tbl>
    <w:p w:rsidR="00E76CAC" w:rsidRDefault="00E76CAC" w:rsidP="00E76CAC"/>
    <w:tbl>
      <w:tblPr>
        <w:tblW w:w="0" w:type="auto"/>
        <w:tblLayout w:type="fixed"/>
        <w:tblLook w:val="0000" w:firstRow="0" w:lastRow="0" w:firstColumn="0" w:lastColumn="0" w:noHBand="0" w:noVBand="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firstRow="0" w:lastRow="0" w:firstColumn="0" w:lastColumn="0" w:noHBand="0" w:noVBand="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Default="00E76CAC" w:rsidP="00C17D1B">
            <w:pPr>
              <w:pStyle w:val="EnvelopeReturn"/>
              <w:rPr>
                <w:b/>
              </w:rPr>
            </w:pPr>
            <w:r>
              <w:rPr>
                <w:b/>
              </w:rPr>
              <w:t>TOPICS:</w:t>
            </w:r>
          </w:p>
          <w:p w:rsidR="00E76CAC" w:rsidRDefault="00E76CAC" w:rsidP="00C17D1B">
            <w:pPr>
              <w:pStyle w:val="EnvelopeReturn"/>
            </w:pP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FB4A2D">
            <w:pPr>
              <w:pStyle w:val="EnvelopeReturn"/>
            </w:pPr>
            <w:r>
              <w:t>Job Order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FB4A2D">
            <w:pPr>
              <w:pStyle w:val="EnvelopeReturn"/>
            </w:pPr>
            <w:r>
              <w:t>Process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223C2E">
            <w:pPr>
              <w:pStyle w:val="EnvelopeReturn"/>
            </w:pPr>
            <w:r>
              <w:t>Cost</w:t>
            </w:r>
            <w:r w:rsidR="00FB4A2D">
              <w:t xml:space="preserve"> Management System</w:t>
            </w:r>
            <w:r w:rsidR="00223C2E">
              <w:t xml:space="preserve">s: Activity-Based, Just-In-Time </w:t>
            </w:r>
            <w:r w:rsidR="00FB4A2D">
              <w:t>Systems</w:t>
            </w:r>
            <w:r>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FB4A2D" w:rsidP="00FB4A2D">
            <w:pPr>
              <w:pStyle w:val="EnvelopeReturn"/>
            </w:pPr>
            <w:r>
              <w:t>Cost-Volume-Profit Analysis</w:t>
            </w:r>
            <w:r w:rsidR="00E76CAC">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FB4A2D" w:rsidRDefault="00FB4A2D" w:rsidP="00FB4A2D">
            <w:pPr>
              <w:pStyle w:val="EnvelopeReturn"/>
            </w:pPr>
            <w:r>
              <w:t>Variable Costing</w:t>
            </w:r>
            <w:r w:rsidR="00E76CAC">
              <w:t>.</w:t>
            </w:r>
          </w:p>
        </w:tc>
      </w:tr>
    </w:tbl>
    <w:p w:rsidR="00FB4A2D" w:rsidRPr="00FB4A2D" w:rsidRDefault="00FB4A2D" w:rsidP="00FB4A2D">
      <w:pPr>
        <w:tabs>
          <w:tab w:val="left" w:pos="630"/>
          <w:tab w:val="left" w:pos="1260"/>
        </w:tabs>
        <w:ind w:firstLine="720"/>
        <w:rPr>
          <w:rFonts w:ascii="Arial" w:hAnsi="Arial" w:cs="Arial"/>
        </w:rPr>
      </w:pPr>
      <w:r>
        <w:rPr>
          <w:rFonts w:ascii="Arial" w:hAnsi="Arial" w:cs="Arial"/>
        </w:rPr>
        <w:t>7</w:t>
      </w:r>
      <w:r w:rsidRPr="00FB4A2D">
        <w:rPr>
          <w:rFonts w:ascii="Arial" w:hAnsi="Arial" w:cs="Arial"/>
        </w:rPr>
        <w:t>.</w:t>
      </w:r>
      <w:r w:rsidRPr="00FB4A2D">
        <w:rPr>
          <w:rFonts w:ascii="Arial" w:hAnsi="Arial" w:cs="Arial"/>
        </w:rPr>
        <w:tab/>
      </w:r>
      <w:r w:rsidR="0033447D">
        <w:rPr>
          <w:rFonts w:ascii="Arial" w:hAnsi="Arial" w:cs="Arial"/>
        </w:rPr>
        <w:t>Master Budgets</w:t>
      </w:r>
      <w:r w:rsidRPr="00FB4A2D">
        <w:rPr>
          <w:rFonts w:ascii="Arial" w:hAnsi="Arial" w:cs="Arial"/>
        </w:rPr>
        <w:t>.</w:t>
      </w:r>
    </w:p>
    <w:p w:rsidR="00E76CAC" w:rsidRDefault="00FB4A2D" w:rsidP="00FB4A2D">
      <w:pPr>
        <w:tabs>
          <w:tab w:val="left" w:pos="630"/>
          <w:tab w:val="left" w:pos="1260"/>
        </w:tabs>
        <w:ind w:firstLine="720"/>
        <w:rPr>
          <w:rFonts w:ascii="Arial" w:hAnsi="Arial" w:cs="Arial"/>
        </w:rPr>
      </w:pPr>
      <w:r>
        <w:rPr>
          <w:rFonts w:ascii="Arial" w:hAnsi="Arial" w:cs="Arial"/>
        </w:rPr>
        <w:t>8</w:t>
      </w:r>
      <w:r w:rsidRPr="00FB4A2D">
        <w:rPr>
          <w:rFonts w:ascii="Arial" w:hAnsi="Arial" w:cs="Arial"/>
        </w:rPr>
        <w:t>.</w:t>
      </w:r>
      <w:r w:rsidRPr="00FB4A2D">
        <w:rPr>
          <w:rFonts w:ascii="Arial" w:hAnsi="Arial" w:cs="Arial"/>
        </w:rPr>
        <w:tab/>
      </w:r>
      <w:r w:rsidR="0033447D">
        <w:rPr>
          <w:rFonts w:ascii="Arial" w:hAnsi="Arial" w:cs="Arial"/>
        </w:rPr>
        <w:t>Flexible Budgets and Standard Cost Systems</w:t>
      </w:r>
      <w:r w:rsidRPr="00FB4A2D">
        <w:rPr>
          <w:rFonts w:ascii="Arial" w:hAnsi="Arial" w:cs="Arial"/>
        </w:rPr>
        <w:t>.</w:t>
      </w:r>
    </w:p>
    <w:p w:rsidR="00404447" w:rsidRDefault="00404447" w:rsidP="00FB4A2D">
      <w:pPr>
        <w:tabs>
          <w:tab w:val="left" w:pos="630"/>
          <w:tab w:val="left" w:pos="1260"/>
        </w:tabs>
        <w:ind w:firstLine="720"/>
        <w:rPr>
          <w:rFonts w:ascii="Arial" w:hAnsi="Arial" w:cs="Arial"/>
        </w:rPr>
      </w:pPr>
    </w:p>
    <w:p w:rsidR="00404447" w:rsidRPr="00FB4A2D" w:rsidRDefault="00404447" w:rsidP="00FB4A2D">
      <w:pPr>
        <w:tabs>
          <w:tab w:val="left" w:pos="630"/>
          <w:tab w:val="left" w:pos="1260"/>
        </w:tabs>
        <w:ind w:firstLine="720"/>
        <w:rPr>
          <w:rFonts w:ascii="Arial" w:hAnsi="Arial" w:cs="Arial"/>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IV.</w:t>
            </w:r>
          </w:p>
        </w:tc>
        <w:tc>
          <w:tcPr>
            <w:tcW w:w="8181" w:type="dxa"/>
          </w:tcPr>
          <w:p w:rsidR="00E76CAC" w:rsidRDefault="00E76CAC" w:rsidP="00C17D1B">
            <w:pPr>
              <w:pStyle w:val="EnvelopeReturn"/>
              <w:rPr>
                <w:b/>
              </w:rPr>
            </w:pPr>
            <w:r>
              <w:rPr>
                <w:b/>
              </w:rPr>
              <w:t>REQUIRED RESOURCES/TEXTS/MATERIALS:</w:t>
            </w:r>
          </w:p>
          <w:p w:rsidR="00E76CAC" w:rsidRDefault="0033447D" w:rsidP="006049F1">
            <w:pPr>
              <w:pStyle w:val="EnvelopeReturn"/>
            </w:pPr>
            <w:r>
              <w:t>Managerial Accounting</w:t>
            </w:r>
            <w:r w:rsidR="00E76CAC">
              <w:t xml:space="preserve">, </w:t>
            </w:r>
            <w:r>
              <w:t>J. Cavaliere, Pearson</w:t>
            </w:r>
            <w:r w:rsidR="00E76CAC">
              <w:t xml:space="preserve"> Publishers</w:t>
            </w:r>
          </w:p>
        </w:tc>
      </w:tr>
    </w:tbl>
    <w:p w:rsidR="00E76CAC" w:rsidRDefault="00E76CAC" w:rsidP="00E76CAC"/>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V.</w:t>
            </w:r>
          </w:p>
        </w:tc>
        <w:tc>
          <w:tcPr>
            <w:tcW w:w="8181" w:type="dxa"/>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 xml:space="preserve">Three </w:t>
            </w:r>
            <w:r w:rsidR="00404447">
              <w:rPr>
                <w:b/>
                <w:u w:val="single"/>
              </w:rPr>
              <w:t>Exams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 xml:space="preserve">Reference material is from Chapters </w:t>
            </w:r>
            <w:r w:rsidR="0033447D">
              <w:t xml:space="preserve">1, 2 </w:t>
            </w:r>
            <w:r>
              <w:t>&amp;</w:t>
            </w:r>
            <w:r w:rsidR="0033447D">
              <w:t xml:space="preserve"> 3</w:t>
            </w:r>
            <w:r>
              <w:t xml:space="preserve">. </w:t>
            </w:r>
            <w:r w:rsidR="0033447D">
              <w:t xml:space="preserve"> </w:t>
            </w:r>
            <w:r>
              <w:t>(3</w:t>
            </w:r>
            <w:r w:rsidR="0004647E">
              <w:t>4</w:t>
            </w:r>
            <w:r>
              <w:t>%)</w:t>
            </w:r>
          </w:p>
          <w:p w:rsidR="00E76CAC" w:rsidRDefault="00E76CAC" w:rsidP="00E76CAC">
            <w:pPr>
              <w:pStyle w:val="EnvelopeReturn"/>
              <w:numPr>
                <w:ilvl w:val="0"/>
                <w:numId w:val="13"/>
              </w:numPr>
            </w:pPr>
            <w:r>
              <w:rPr>
                <w:b/>
              </w:rPr>
              <w:t>Test#2:</w:t>
            </w:r>
            <w:r>
              <w:t xml:space="preserve"> Reference material is from Chapters </w:t>
            </w:r>
            <w:r w:rsidR="0033447D">
              <w:t>4, 5 &amp; 6</w:t>
            </w:r>
            <w:r>
              <w:t xml:space="preserve">. </w:t>
            </w:r>
            <w:r w:rsidR="0033447D">
              <w:t xml:space="preserve"> </w:t>
            </w:r>
            <w:r>
              <w:t>(3</w:t>
            </w:r>
            <w:r w:rsidR="0004647E">
              <w:t>3</w:t>
            </w:r>
            <w:r>
              <w:t>%)</w:t>
            </w:r>
          </w:p>
          <w:p w:rsidR="00E76CAC" w:rsidRDefault="00E76CAC" w:rsidP="00E76CAC">
            <w:pPr>
              <w:pStyle w:val="EnvelopeReturn"/>
              <w:numPr>
                <w:ilvl w:val="0"/>
                <w:numId w:val="13"/>
              </w:numPr>
            </w:pPr>
            <w:r>
              <w:rPr>
                <w:b/>
              </w:rPr>
              <w:t>Test#3:</w:t>
            </w:r>
            <w:r>
              <w:t xml:space="preserve"> Reference material is from Chapters </w:t>
            </w:r>
            <w:r w:rsidR="0033447D">
              <w:t>7 &amp; 8</w:t>
            </w:r>
            <w:r>
              <w:t xml:space="preserve">. </w:t>
            </w:r>
            <w:r w:rsidR="0033447D">
              <w:t xml:space="preserve">     </w:t>
            </w:r>
            <w:r>
              <w:t>(3</w:t>
            </w:r>
            <w:r w:rsidR="0004647E">
              <w:t>3</w:t>
            </w:r>
            <w:r>
              <w:t>%)</w:t>
            </w:r>
          </w:p>
          <w:p w:rsidR="00E76CAC" w:rsidRDefault="00E76CAC" w:rsidP="00C17D1B">
            <w:pPr>
              <w:pStyle w:val="EnvelopeReturn"/>
            </w:pPr>
          </w:p>
          <w:p w:rsidR="00E76CAC" w:rsidRDefault="00E76CAC" w:rsidP="00404447">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tcPr>
          <w:p w:rsidR="00E76CAC" w:rsidRDefault="00E76CAC" w:rsidP="00E76CAC">
            <w:pPr>
              <w:pStyle w:val="EnvelopeReturn"/>
            </w:pPr>
            <w:r>
              <w:t>The following semester grades will be assigned to students in postsecondary courses:</w:t>
            </w:r>
          </w:p>
        </w:tc>
      </w:tr>
    </w:tbl>
    <w:p w:rsidR="00E76CAC" w:rsidRDefault="00E76CAC" w:rsidP="00E76CAC">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p w:rsidR="00223C2E" w:rsidRDefault="00223C2E" w:rsidP="00C17D1B">
            <w:pPr>
              <w:rPr>
                <w:rFonts w:ascii="Arial" w:hAnsi="Arial"/>
              </w:rPr>
            </w:pPr>
          </w:p>
          <w:p w:rsidR="00223C2E" w:rsidRDefault="00223C2E" w:rsidP="00C17D1B">
            <w:pPr>
              <w:rPr>
                <w:rFonts w:ascii="Arial" w:hAnsi="Arial"/>
              </w:rPr>
            </w:pPr>
          </w:p>
          <w:p w:rsidR="00404447" w:rsidRDefault="00404447" w:rsidP="00C17D1B">
            <w:pPr>
              <w:rPr>
                <w:rFonts w:ascii="Arial" w:hAnsi="Arial"/>
              </w:rPr>
            </w:pPr>
          </w:p>
          <w:p w:rsidR="00404447" w:rsidRDefault="00404447" w:rsidP="00C17D1B">
            <w:pPr>
              <w:rPr>
                <w:rFonts w:ascii="Arial" w:hAnsi="Arial"/>
              </w:rPr>
            </w:pPr>
          </w:p>
          <w:p w:rsidR="00404447" w:rsidRDefault="00404447" w:rsidP="00C17D1B">
            <w:pPr>
              <w:rPr>
                <w:rFonts w:ascii="Arial" w:hAnsi="Arial"/>
              </w:rPr>
            </w:pPr>
          </w:p>
          <w:p w:rsidR="00404447" w:rsidRDefault="00404447" w:rsidP="00C17D1B">
            <w:pPr>
              <w:rPr>
                <w:rFonts w:ascii="Arial" w:hAnsi="Arial"/>
              </w:rPr>
            </w:pPr>
          </w:p>
        </w:tc>
        <w:tc>
          <w:tcPr>
            <w:tcW w:w="1802" w:type="dxa"/>
          </w:tcPr>
          <w:p w:rsidR="00E76CAC" w:rsidRDefault="00E76CAC" w:rsidP="00C17D1B">
            <w:pPr>
              <w:jc w:val="center"/>
              <w:rPr>
                <w:rFonts w:ascii="Arial" w:hAnsi="Arial"/>
              </w:rPr>
            </w:pPr>
          </w:p>
        </w:tc>
      </w:tr>
    </w:tbl>
    <w:p w:rsidR="00E76CAC" w:rsidRDefault="00E76CAC" w:rsidP="00E76CAC"/>
    <w:tbl>
      <w:tblPr>
        <w:tblW w:w="9468" w:type="dxa"/>
        <w:tblLayout w:type="fixed"/>
        <w:tblLook w:val="0000" w:firstRow="0" w:lastRow="0" w:firstColumn="0" w:lastColumn="0" w:noHBand="0" w:noVBand="0"/>
      </w:tblPr>
      <w:tblGrid>
        <w:gridCol w:w="675"/>
        <w:gridCol w:w="8181"/>
        <w:gridCol w:w="612"/>
      </w:tblGrid>
      <w:tr w:rsidR="00E76CAC" w:rsidTr="0004647E">
        <w:trPr>
          <w:gridAfter w:val="1"/>
          <w:wAfter w:w="612" w:type="dxa"/>
          <w:cantSplit/>
        </w:trPr>
        <w:tc>
          <w:tcPr>
            <w:tcW w:w="675" w:type="dxa"/>
          </w:tcPr>
          <w:p w:rsidR="00E76CAC" w:rsidRDefault="00E76CAC" w:rsidP="00C17D1B">
            <w:pPr>
              <w:rPr>
                <w:rFonts w:ascii="Arial" w:hAnsi="Arial"/>
                <w:b/>
              </w:rPr>
            </w:pPr>
            <w:r>
              <w:rPr>
                <w:rFonts w:ascii="Arial" w:hAnsi="Arial"/>
                <w:b/>
              </w:rPr>
              <w:lastRenderedPageBreak/>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
                <w:u w:val="single"/>
              </w:rPr>
            </w:pPr>
            <w:r w:rsidRPr="00122311">
              <w:rPr>
                <w:u w:val="single"/>
              </w:rPr>
              <w:t>Classroom Decorum:</w:t>
            </w:r>
          </w:p>
          <w:p w:rsidR="0004647E" w:rsidRPr="00122311" w:rsidRDefault="0004647E"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04647E" w:rsidRPr="00122311" w:rsidRDefault="0004647E" w:rsidP="00340571">
            <w:pPr>
              <w:pStyle w:val="EnvelopeReturn"/>
            </w:pPr>
          </w:p>
          <w:p w:rsidR="0004647E" w:rsidRPr="00122311" w:rsidRDefault="0004647E" w:rsidP="00340571">
            <w:pPr>
              <w:pStyle w:val="EnvelopeReturn"/>
              <w:rPr>
                <w:b/>
                <w:bCs/>
              </w:rPr>
            </w:pPr>
            <w:r w:rsidRPr="00122311">
              <w:rPr>
                <w:b/>
                <w:bCs/>
              </w:rPr>
              <w:t>Cell Phones must be turned off during class time. If a student does not follow this policy they will be asked to leave the classroom.</w:t>
            </w:r>
          </w:p>
          <w:p w:rsidR="0004647E" w:rsidRPr="00122311" w:rsidRDefault="0004647E" w:rsidP="00340571">
            <w:pPr>
              <w:pStyle w:val="EnvelopeReturn"/>
            </w:pPr>
          </w:p>
          <w:p w:rsidR="0004647E" w:rsidRDefault="0004647E" w:rsidP="00340571">
            <w:pPr>
              <w:pStyle w:val="EnvelopeReturn"/>
              <w:rPr>
                <w:bCs/>
              </w:rPr>
            </w:pPr>
            <w:r w:rsidRPr="00122311">
              <w:rPr>
                <w:bCs/>
              </w:rPr>
              <w:t>It is the professor’s intention to maintain proper classroom decorum at all times in order to provide the best possible learning and teaching environment.</w:t>
            </w:r>
          </w:p>
          <w:p w:rsidR="0004647E" w:rsidRDefault="0004647E" w:rsidP="00340571">
            <w:pPr>
              <w:pStyle w:val="EnvelopeReturn"/>
              <w:rPr>
                <w:bCs/>
              </w:rPr>
            </w:pPr>
          </w:p>
          <w:p w:rsidR="0004647E" w:rsidRPr="00122311" w:rsidRDefault="0004647E"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Attendance:</w:t>
            </w:r>
          </w:p>
          <w:p w:rsidR="0004647E" w:rsidRDefault="0004647E" w:rsidP="00340571">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3447D" w:rsidRPr="00122311" w:rsidRDefault="0033447D" w:rsidP="00340571">
            <w:pPr>
              <w:pStyle w:val="EnvelopeReturn"/>
            </w:pPr>
          </w:p>
          <w:p w:rsidR="0004647E" w:rsidRPr="00122311" w:rsidRDefault="0004647E"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Return of Students’ Tests, Exams and  Assignments:</w:t>
            </w:r>
          </w:p>
          <w:p w:rsidR="0004647E" w:rsidRPr="00122311" w:rsidRDefault="0004647E"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04647E" w:rsidRDefault="0004647E" w:rsidP="00340571">
            <w:pPr>
              <w:pStyle w:val="EnvelopeReturn"/>
              <w:rPr>
                <w:bCs/>
                <w:u w:val="single"/>
              </w:rPr>
            </w:pPr>
          </w:p>
          <w:p w:rsidR="0004647E" w:rsidRPr="00122311" w:rsidRDefault="0004647E" w:rsidP="00340571">
            <w:pPr>
              <w:pStyle w:val="EnvelopeReturn"/>
              <w:rPr>
                <w:bCs/>
              </w:rPr>
            </w:pPr>
            <w:r w:rsidRPr="00122311">
              <w:rPr>
                <w:bCs/>
              </w:rPr>
              <w:t xml:space="preserve">Students are required to retain their tests and assignments in the event that there is a disagreement with the </w:t>
            </w:r>
            <w:r w:rsidR="0033447D">
              <w:rPr>
                <w:bCs/>
              </w:rPr>
              <w:t>grade</w:t>
            </w:r>
            <w:r w:rsidRPr="00122311">
              <w:rPr>
                <w:bCs/>
              </w:rPr>
              <w:t xml:space="preserve"> received and the </w:t>
            </w:r>
            <w:r w:rsidR="0033447D">
              <w:rPr>
                <w:bCs/>
              </w:rPr>
              <w:t>grade</w:t>
            </w:r>
            <w:r w:rsidRPr="00122311">
              <w:rPr>
                <w:bCs/>
              </w:rPr>
              <w:t xml:space="preserve"> recorded by the professor.  If the student is not able to present the test/assignment in question, the professor’s recorded </w:t>
            </w:r>
            <w:r w:rsidR="0033447D">
              <w:rPr>
                <w:bCs/>
              </w:rPr>
              <w:t>grade</w:t>
            </w:r>
            <w:r w:rsidRPr="00122311">
              <w:rPr>
                <w:bCs/>
              </w:rPr>
              <w:t xml:space="preserve"> will stand.</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277C22" w:rsidRDefault="0004647E" w:rsidP="00340571">
            <w:pPr>
              <w:pStyle w:val="EnvelopeReturn"/>
              <w:rPr>
                <w:bCs/>
                <w:lang w:val="fr-CA"/>
              </w:rPr>
            </w:pPr>
            <w:r w:rsidRPr="00277C22">
              <w:rPr>
                <w:bCs/>
                <w:u w:val="single"/>
                <w:lang w:val="fr-CA"/>
              </w:rPr>
              <w:t>Contact Information:</w:t>
            </w:r>
          </w:p>
          <w:p w:rsidR="0004647E" w:rsidRPr="00277C22" w:rsidRDefault="0004647E" w:rsidP="00340571">
            <w:pPr>
              <w:pStyle w:val="EnvelopeReturn"/>
              <w:rPr>
                <w:bCs/>
                <w:lang w:val="fr-CA"/>
              </w:rPr>
            </w:pPr>
          </w:p>
          <w:p w:rsidR="0004647E" w:rsidRPr="00277C22" w:rsidRDefault="0004647E"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04647E" w:rsidRPr="00122311" w:rsidRDefault="0004647E" w:rsidP="00340571">
            <w:pPr>
              <w:pStyle w:val="EnvelopeReturn"/>
              <w:rPr>
                <w:bCs/>
              </w:rPr>
            </w:pPr>
            <w:r w:rsidRPr="00122311">
              <w:rPr>
                <w:bCs/>
              </w:rPr>
              <w:t>Phone: 759-2554  Ext# 2764</w:t>
            </w:r>
          </w:p>
          <w:p w:rsidR="0004647E" w:rsidRPr="00122311" w:rsidRDefault="0004647E" w:rsidP="00340571">
            <w:pPr>
              <w:pStyle w:val="EnvelopeReturn"/>
              <w:rPr>
                <w:bCs/>
              </w:rPr>
            </w:pPr>
            <w:r w:rsidRPr="00122311">
              <w:rPr>
                <w:bCs/>
              </w:rPr>
              <w:t>Office: E4610 (Office Hours by appointment)</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r>
              <w:rPr>
                <w:rFonts w:ascii="Arial" w:hAnsi="Arial"/>
                <w:b/>
              </w:rPr>
              <w:t>VII.</w:t>
            </w:r>
          </w:p>
        </w:tc>
        <w:tc>
          <w:tcPr>
            <w:tcW w:w="8793" w:type="dxa"/>
            <w:gridSpan w:val="2"/>
          </w:tcPr>
          <w:p w:rsidR="0004647E" w:rsidRPr="007F720C" w:rsidRDefault="0004647E" w:rsidP="00340571">
            <w:pPr>
              <w:pStyle w:val="EnvelopeReturn"/>
              <w:rPr>
                <w:b/>
                <w:bCs/>
                <w:lang w:val="en-CA"/>
              </w:rPr>
            </w:pPr>
            <w:r w:rsidRPr="007F720C">
              <w:rPr>
                <w:b/>
                <w:bCs/>
                <w:lang w:val="en-CA"/>
              </w:rPr>
              <w:t>COURSE OUTLINE ADDENDUM :</w:t>
            </w:r>
          </w:p>
          <w:p w:rsidR="0004647E" w:rsidRPr="007F720C" w:rsidRDefault="0004647E" w:rsidP="00340571">
            <w:pPr>
              <w:pStyle w:val="EnvelopeReturn"/>
              <w:rPr>
                <w:b/>
                <w:bCs/>
                <w:lang w:val="en-CA"/>
              </w:rPr>
            </w:pPr>
          </w:p>
          <w:p w:rsidR="0004647E" w:rsidRPr="001B5302" w:rsidRDefault="0004647E" w:rsidP="00340571">
            <w:pPr>
              <w:pStyle w:val="EnvelopeReturn"/>
              <w:rPr>
                <w:bCs/>
                <w:lang w:val="en-CA"/>
              </w:rPr>
            </w:pPr>
            <w:r w:rsidRPr="001B5302">
              <w:rPr>
                <w:bCs/>
                <w:lang w:val="en-CA"/>
              </w:rPr>
              <w:t>The provisions contained in the addendum located on the portal form part of this course outline.</w:t>
            </w:r>
          </w:p>
          <w:p w:rsidR="0004647E" w:rsidRPr="001B5302" w:rsidRDefault="0004647E" w:rsidP="00340571">
            <w:pPr>
              <w:pStyle w:val="EnvelopeReturn"/>
              <w:rPr>
                <w:bCs/>
                <w:u w:val="single"/>
                <w:lang w:val="en-CA"/>
              </w:rPr>
            </w:pPr>
          </w:p>
        </w:tc>
      </w:tr>
    </w:tbl>
    <w:p w:rsidR="0004647E" w:rsidRPr="00122311" w:rsidRDefault="0004647E" w:rsidP="0004647E">
      <w:pPr>
        <w:pStyle w:val="EnvelopeReturn"/>
      </w:pPr>
    </w:p>
    <w:p w:rsidR="0004647E" w:rsidRDefault="0004647E" w:rsidP="0004647E">
      <w:pPr>
        <w:pStyle w:val="EnvelopeReturn"/>
      </w:pPr>
    </w:p>
    <w:p w:rsidR="0004647E" w:rsidRDefault="0004647E" w:rsidP="0004647E">
      <w:pPr>
        <w:tabs>
          <w:tab w:val="center" w:pos="4560"/>
        </w:tabs>
        <w:rPr>
          <w:rFonts w:ascii="Arial" w:hAnsi="Arial"/>
          <w:lang w:val="en-GB"/>
        </w:rPr>
      </w:pPr>
    </w:p>
    <w:p w:rsidR="0004647E" w:rsidRDefault="0004647E" w:rsidP="0004647E">
      <w:pPr>
        <w:tabs>
          <w:tab w:val="center" w:pos="4560"/>
        </w:tabs>
        <w:rPr>
          <w:rFonts w:ascii="Arial" w:hAnsi="Arial"/>
          <w:lang w:val="en-GB"/>
        </w:rPr>
      </w:pPr>
    </w:p>
    <w:p w:rsidR="00D1300B" w:rsidRDefault="00D1300B">
      <w:pPr>
        <w:tabs>
          <w:tab w:val="center" w:pos="4560"/>
        </w:tabs>
        <w:rPr>
          <w:rFonts w:ascii="Arial" w:hAnsi="Arial"/>
          <w:lang w:val="en-GB"/>
        </w:rPr>
      </w:pPr>
    </w:p>
    <w:sectPr w:rsidR="00D130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A4" w:rsidRDefault="00EF79A4">
      <w:r>
        <w:separator/>
      </w:r>
    </w:p>
  </w:endnote>
  <w:endnote w:type="continuationSeparator" w:id="0">
    <w:p w:rsidR="00EF79A4" w:rsidRDefault="00E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A4" w:rsidRDefault="00EF79A4">
      <w:r>
        <w:separator/>
      </w:r>
    </w:p>
  </w:footnote>
  <w:footnote w:type="continuationSeparator" w:id="0">
    <w:p w:rsidR="00EF79A4" w:rsidRDefault="00EF7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83D">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4647E"/>
    <w:rsid w:val="0013201F"/>
    <w:rsid w:val="001428EB"/>
    <w:rsid w:val="00155A91"/>
    <w:rsid w:val="00177078"/>
    <w:rsid w:val="001B0961"/>
    <w:rsid w:val="001B72EE"/>
    <w:rsid w:val="00223C2E"/>
    <w:rsid w:val="00224015"/>
    <w:rsid w:val="00283F8A"/>
    <w:rsid w:val="00295232"/>
    <w:rsid w:val="002D0F95"/>
    <w:rsid w:val="002D240A"/>
    <w:rsid w:val="003260C5"/>
    <w:rsid w:val="0033447D"/>
    <w:rsid w:val="00351D1B"/>
    <w:rsid w:val="003D0B70"/>
    <w:rsid w:val="003D5562"/>
    <w:rsid w:val="00404447"/>
    <w:rsid w:val="00441ECC"/>
    <w:rsid w:val="00455859"/>
    <w:rsid w:val="004E298B"/>
    <w:rsid w:val="00532940"/>
    <w:rsid w:val="00533537"/>
    <w:rsid w:val="0056705E"/>
    <w:rsid w:val="005A28BC"/>
    <w:rsid w:val="005C10A6"/>
    <w:rsid w:val="006049F1"/>
    <w:rsid w:val="00613807"/>
    <w:rsid w:val="00626C24"/>
    <w:rsid w:val="00652270"/>
    <w:rsid w:val="00681267"/>
    <w:rsid w:val="00721FF2"/>
    <w:rsid w:val="00722CFA"/>
    <w:rsid w:val="00723208"/>
    <w:rsid w:val="0073483D"/>
    <w:rsid w:val="00754E67"/>
    <w:rsid w:val="007768DA"/>
    <w:rsid w:val="007A0698"/>
    <w:rsid w:val="007E6621"/>
    <w:rsid w:val="007F132C"/>
    <w:rsid w:val="00867048"/>
    <w:rsid w:val="009B5B24"/>
    <w:rsid w:val="00A01D87"/>
    <w:rsid w:val="00A023DB"/>
    <w:rsid w:val="00A85995"/>
    <w:rsid w:val="00A9176F"/>
    <w:rsid w:val="00A97B10"/>
    <w:rsid w:val="00AC5756"/>
    <w:rsid w:val="00B50404"/>
    <w:rsid w:val="00B778BA"/>
    <w:rsid w:val="00B835FC"/>
    <w:rsid w:val="00BA119A"/>
    <w:rsid w:val="00BC41D2"/>
    <w:rsid w:val="00C0550E"/>
    <w:rsid w:val="00C53F7E"/>
    <w:rsid w:val="00C97897"/>
    <w:rsid w:val="00D1300B"/>
    <w:rsid w:val="00D25479"/>
    <w:rsid w:val="00DC1839"/>
    <w:rsid w:val="00E25868"/>
    <w:rsid w:val="00E76CAC"/>
    <w:rsid w:val="00E86FF6"/>
    <w:rsid w:val="00EC44C5"/>
    <w:rsid w:val="00ED4A3C"/>
    <w:rsid w:val="00EE6E49"/>
    <w:rsid w:val="00EF4EC9"/>
    <w:rsid w:val="00EF79A4"/>
    <w:rsid w:val="00F0236B"/>
    <w:rsid w:val="00F430A9"/>
    <w:rsid w:val="00FB4A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F7EEB-35F0-43B2-A5CD-539EFB413167}"/>
</file>

<file path=customXml/itemProps2.xml><?xml version="1.0" encoding="utf-8"?>
<ds:datastoreItem xmlns:ds="http://schemas.openxmlformats.org/officeDocument/2006/customXml" ds:itemID="{D4D7C549-0988-4102-8D98-8C4E23506312}"/>
</file>

<file path=customXml/itemProps3.xml><?xml version="1.0" encoding="utf-8"?>
<ds:datastoreItem xmlns:ds="http://schemas.openxmlformats.org/officeDocument/2006/customXml" ds:itemID="{792A989A-0763-4C84-8F72-0B5D4EAF11EF}"/>
</file>

<file path=docProps/app.xml><?xml version="1.0" encoding="utf-8"?>
<Properties xmlns="http://schemas.openxmlformats.org/officeDocument/2006/extended-properties" xmlns:vt="http://schemas.openxmlformats.org/officeDocument/2006/docPropsVTypes">
  <Template>Normal.dotm</Template>
  <TotalTime>1</TotalTime>
  <Pages>6</Pages>
  <Words>1106</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7638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2015-11-24T20:33:00Z</cp:lastPrinted>
  <dcterms:created xsi:type="dcterms:W3CDTF">2015-11-24T20:33:00Z</dcterms:created>
  <dcterms:modified xsi:type="dcterms:W3CDTF">2015-11-24T20:33:00Z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950400</vt:r8>
  </property>
</Properties>
</file>